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4" w:rsidRDefault="00953402">
      <w:pPr>
        <w:pStyle w:val="20"/>
        <w:shd w:val="clear" w:color="auto" w:fill="auto"/>
        <w:spacing w:after="13" w:line="220" w:lineRule="exact"/>
      </w:pPr>
      <w:bookmarkStart w:id="0" w:name="_GoBack"/>
      <w:bookmarkEnd w:id="0"/>
      <w:r>
        <w:t>ПОЯСНИТЕЛЬНАЯ ЗАПИСКА</w:t>
      </w:r>
    </w:p>
    <w:p w:rsidR="00BE0B04" w:rsidRDefault="00953402">
      <w:pPr>
        <w:pStyle w:val="20"/>
        <w:shd w:val="clear" w:color="auto" w:fill="auto"/>
        <w:spacing w:after="0" w:line="283" w:lineRule="exact"/>
      </w:pPr>
      <w:r>
        <w:t>к первой редакции проекта национального стандарта ГОСТ Р «Система защиты от фальсификации и контрафакта. Технический аудит предприятий. Общие положения»</w:t>
      </w:r>
    </w:p>
    <w:p w:rsidR="00BE0B04" w:rsidRDefault="00953402">
      <w:pPr>
        <w:pStyle w:val="20"/>
        <w:shd w:val="clear" w:color="auto" w:fill="auto"/>
        <w:spacing w:after="187" w:line="283" w:lineRule="exact"/>
      </w:pPr>
      <w:r>
        <w:t>Шифр темы 1.2.124-1.017.24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31" w:line="200" w:lineRule="exact"/>
        <w:ind w:left="20"/>
      </w:pPr>
      <w:r>
        <w:t>Сведения о разработчике стандарта</w:t>
      </w:r>
    </w:p>
    <w:p w:rsidR="00BE0B04" w:rsidRDefault="00953402">
      <w:pPr>
        <w:pStyle w:val="1"/>
        <w:shd w:val="clear" w:color="auto" w:fill="auto"/>
        <w:spacing w:before="0" w:after="167"/>
        <w:ind w:left="20" w:right="20" w:firstLine="520"/>
      </w:pPr>
      <w:r>
        <w:t xml:space="preserve">ООО «Центр организации бизнеса» Юридический и почтовый адрес: 111123, Российская Федерация, город Москва, улица Плеханова, дом 4А, этаж 2. помещение 12, комната 13, офис 80А, тел.+7(919)729-52-83, </w:t>
      </w:r>
      <w:r>
        <w:rPr>
          <w:lang w:val="en-US"/>
        </w:rPr>
        <w:t>e</w:t>
      </w:r>
      <w:r w:rsidRPr="00F6494A">
        <w:t>-</w:t>
      </w:r>
      <w:r>
        <w:rPr>
          <w:lang w:val="en-US"/>
        </w:rPr>
        <w:t>mail</w:t>
      </w:r>
      <w:r w:rsidRPr="00F6494A">
        <w:t xml:space="preserve">: </w:t>
      </w:r>
      <w:hyperlink r:id="rId7" w:history="1">
        <w:r>
          <w:rPr>
            <w:rStyle w:val="a3"/>
            <w:lang w:val="en-US"/>
          </w:rPr>
          <w:t>cob</w:t>
        </w:r>
        <w:r w:rsidRPr="00F6494A">
          <w:rPr>
            <w:rStyle w:val="a3"/>
          </w:rPr>
          <w:t>2022@</w:t>
        </w:r>
        <w:r>
          <w:rPr>
            <w:rStyle w:val="a3"/>
            <w:lang w:val="en-US"/>
          </w:rPr>
          <w:t>yandex</w:t>
        </w:r>
        <w:r w:rsidRPr="00F6494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934"/>
        </w:tabs>
        <w:spacing w:before="0" w:after="36" w:line="200" w:lineRule="exact"/>
        <w:ind w:left="20"/>
      </w:pPr>
      <w:r>
        <w:t>Наименование проекта стандарта</w:t>
      </w:r>
    </w:p>
    <w:p w:rsidR="00BE0B04" w:rsidRDefault="00953402">
      <w:pPr>
        <w:pStyle w:val="1"/>
        <w:shd w:val="clear" w:color="auto" w:fill="auto"/>
        <w:spacing w:before="0" w:after="167"/>
        <w:ind w:left="20" w:right="20" w:firstLine="520"/>
      </w:pPr>
      <w:r>
        <w:t>ГОСТ Р «Система защиты от фальсификации и контрафакта. Технический аудит предприятий. Общие положения»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766"/>
        </w:tabs>
        <w:spacing w:before="0" w:after="31" w:line="200" w:lineRule="exact"/>
        <w:ind w:left="20"/>
      </w:pPr>
      <w:r>
        <w:t>Краткая характеристика объекта и аспекта стандартизации</w:t>
      </w:r>
    </w:p>
    <w:p w:rsidR="00BE0B04" w:rsidRDefault="00953402">
      <w:pPr>
        <w:pStyle w:val="1"/>
        <w:shd w:val="clear" w:color="auto" w:fill="auto"/>
        <w:spacing w:before="0"/>
        <w:ind w:left="20" w:right="20" w:firstLine="520"/>
      </w:pPr>
      <w:r>
        <w:t xml:space="preserve">В проекте стандарта установлены общие требования к </w:t>
      </w:r>
      <w:r>
        <w:t>проведению технического аудита производственной системы предприятия или отдельных производственных процессов производственной системы, обладающих высокой добавленной стоимостью, и распространяется на предприятия различных форм собственности.</w:t>
      </w:r>
    </w:p>
    <w:p w:rsidR="00BE0B04" w:rsidRDefault="00953402">
      <w:pPr>
        <w:pStyle w:val="1"/>
        <w:shd w:val="clear" w:color="auto" w:fill="auto"/>
        <w:spacing w:before="0" w:after="167"/>
        <w:ind w:left="20" w:right="20" w:firstLine="520"/>
      </w:pPr>
      <w:r>
        <w:t>Стандарт также</w:t>
      </w:r>
      <w:r>
        <w:t xml:space="preserve"> устанавливает общие положения в области противодействия обороту фальсифицированной и контрафактной продукции и при осуществлении параллельного импорта продукции. Стандарт предназначен для применения предприятиями- изготовителями, предприятиями-потребителя</w:t>
      </w:r>
      <w:r>
        <w:t>ми материалов, специализированными и иными организациями, осуществляющими деятельность в рамках оборота продукции на любом этапе ее жизненного цикла.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31" w:line="200" w:lineRule="exact"/>
        <w:ind w:left="20"/>
      </w:pPr>
      <w:r>
        <w:t>Цель разработки стандарта</w:t>
      </w:r>
    </w:p>
    <w:p w:rsidR="00BE0B04" w:rsidRDefault="00953402">
      <w:pPr>
        <w:pStyle w:val="1"/>
        <w:shd w:val="clear" w:color="auto" w:fill="auto"/>
        <w:spacing w:before="0" w:after="167"/>
        <w:ind w:left="20" w:right="20" w:firstLine="520"/>
      </w:pPr>
      <w:r>
        <w:t>Разработка выполняется с целью установления общих положений в области противодей</w:t>
      </w:r>
      <w:r>
        <w:t>ствия обороту фальсифицированной и контрафактной продукции, а также при осуществлении параллельного импорта продукции.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31" w:line="200" w:lineRule="exact"/>
        <w:ind w:left="20"/>
      </w:pPr>
      <w:r>
        <w:t>Перечень работ, выполненных в целях разработки стандарта</w:t>
      </w:r>
    </w:p>
    <w:p w:rsidR="00BE0B04" w:rsidRDefault="00953402">
      <w:pPr>
        <w:pStyle w:val="1"/>
        <w:shd w:val="clear" w:color="auto" w:fill="auto"/>
        <w:spacing w:before="0" w:after="132"/>
        <w:ind w:left="20" w:right="20" w:firstLine="520"/>
      </w:pPr>
      <w:r>
        <w:t>Научно-исследовательские работы в области противодействия обороту фальсифицирова</w:t>
      </w:r>
      <w:r>
        <w:t>нной и контрафактной продукции не выполнялись.</w:t>
      </w:r>
    </w:p>
    <w:p w:rsidR="00BE0B04" w:rsidRDefault="00953402">
      <w:pPr>
        <w:pStyle w:val="1"/>
        <w:shd w:val="clear" w:color="auto" w:fill="auto"/>
        <w:spacing w:before="0" w:after="156" w:line="245" w:lineRule="exact"/>
        <w:ind w:left="20" w:right="20" w:firstLine="520"/>
      </w:pPr>
      <w:r>
        <w:t>Выполнение работ по стандартизации, реализованных в целях разработки стандарта, не предусмотрено. При разработке стандарта учтены действующие нормативные документы по стандартизации.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775"/>
        </w:tabs>
        <w:spacing w:before="0" w:after="27" w:line="200" w:lineRule="exact"/>
        <w:ind w:left="20"/>
      </w:pPr>
      <w:r>
        <w:t>Основание разработки станд</w:t>
      </w:r>
      <w:r>
        <w:t>арта</w:t>
      </w:r>
    </w:p>
    <w:p w:rsidR="00BE0B04" w:rsidRDefault="00953402">
      <w:pPr>
        <w:pStyle w:val="1"/>
        <w:shd w:val="clear" w:color="auto" w:fill="auto"/>
        <w:spacing w:before="0" w:after="124"/>
        <w:ind w:left="20" w:right="20" w:firstLine="520"/>
      </w:pPr>
      <w:r>
        <w:t>Положения национального стандарта обеспечивают реализацию требований Указа Президента Российской Федерации от 23.01.2015 г. №31 «О дополнительных мерах по противодействию незаконному обороту промышленной продукции».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116" w:line="254" w:lineRule="exact"/>
        <w:ind w:left="20" w:right="20"/>
      </w:pPr>
      <w:r>
        <w:t xml:space="preserve">Положения, отличающиеся от </w:t>
      </w:r>
      <w:r>
        <w:t>положений соответствующих международных стандартов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520"/>
      </w:pPr>
      <w:r>
        <w:t>Положения стандарта не имеют аналогов среди международных и региональных стандартов.</w:t>
      </w:r>
    </w:p>
    <w:p w:rsidR="00BE0B04" w:rsidRDefault="0095340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55"/>
        </w:tabs>
        <w:spacing w:after="87" w:line="200" w:lineRule="exact"/>
        <w:ind w:left="20"/>
      </w:pPr>
      <w:bookmarkStart w:id="1" w:name="bookmark0"/>
      <w:r>
        <w:t>Сведения о взаимосвязи стандарта с другими документами по стандартизации</w:t>
      </w:r>
      <w:bookmarkEnd w:id="1"/>
    </w:p>
    <w:p w:rsidR="00BE0B04" w:rsidRDefault="00953402">
      <w:pPr>
        <w:pStyle w:val="1"/>
        <w:shd w:val="clear" w:color="auto" w:fill="auto"/>
        <w:spacing w:before="0" w:after="60" w:line="264" w:lineRule="exact"/>
        <w:ind w:left="20" w:right="20" w:firstLine="600"/>
      </w:pPr>
      <w:r>
        <w:t>Проект стандарта ГОСТ Р «Система защиты от фаль</w:t>
      </w:r>
      <w:r>
        <w:t>сификации и контрафакта. Технический аудит предприятий. Общие положения» взаимосвязан со следующими нормативными документами:</w:t>
      </w:r>
    </w:p>
    <w:p w:rsidR="00BE0B04" w:rsidRDefault="00953402">
      <w:pPr>
        <w:pStyle w:val="1"/>
        <w:shd w:val="clear" w:color="auto" w:fill="auto"/>
        <w:spacing w:before="0" w:after="0" w:line="264" w:lineRule="exact"/>
        <w:ind w:left="20" w:right="20" w:firstLine="600"/>
      </w:pPr>
      <w:r>
        <w:t>ГОСТ 12.4.026 Система стандартов безопасности труда. Цвета сигнальные, знаки безопасности и разметка сигнальная. Назначение и прав</w:t>
      </w:r>
      <w:r>
        <w:t>ила применения. Общие технические требования и характеристики. Методы испытаний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</w:pPr>
      <w:r>
        <w:t>ГОСТ 24297 Верификация закупленной продукции. Организация проведения и методы контроля</w:t>
      </w:r>
    </w:p>
    <w:p w:rsidR="00BE0B04" w:rsidRDefault="00953402">
      <w:pPr>
        <w:pStyle w:val="1"/>
        <w:shd w:val="clear" w:color="auto" w:fill="auto"/>
        <w:spacing w:before="0" w:after="0"/>
        <w:ind w:left="20" w:firstLine="600"/>
      </w:pPr>
      <w:r>
        <w:t xml:space="preserve">ГОСТ </w:t>
      </w:r>
      <w:r>
        <w:rPr>
          <w:lang w:val="en-US"/>
        </w:rPr>
        <w:t>ISO</w:t>
      </w:r>
      <w:r w:rsidRPr="00F6494A">
        <w:t xml:space="preserve"> </w:t>
      </w:r>
      <w:r>
        <w:t>9000 Системы менеджмента качества. Основные положения и словарь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</w:pPr>
      <w:r>
        <w:t xml:space="preserve">ГОСТ Р 51749 </w:t>
      </w:r>
      <w:r>
        <w:t xml:space="preserve">Энергосбережение. Энергопотребляющее оборудование общепромышленного </w:t>
      </w:r>
      <w:r>
        <w:lastRenderedPageBreak/>
        <w:t>применения. Виды. Типы. Группы. Показатели энергетической эффективности. Идентификация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</w:pPr>
      <w:r>
        <w:t>ГОСТ Р 57881 Противодействие незаконному обороту промышленной продукции. Термины и определения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</w:pPr>
      <w:r>
        <w:t>ГОСТ Р</w:t>
      </w:r>
      <w:r>
        <w:t xml:space="preserve"> 58987 Оценка соответствия. Исследования типа продукции в целях оценки (подтверждения) соответствия продукции требованиям технических регламентов евразийского экономического союза</w:t>
      </w:r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</w:pPr>
      <w:r>
        <w:t>ГОСТ Р ИСО 19011 Оценка соответствия. Руководящие указания по проведению ауд</w:t>
      </w:r>
      <w:r>
        <w:t>ита систем менеджмента</w:t>
      </w:r>
    </w:p>
    <w:p w:rsidR="00BE0B04" w:rsidRDefault="00953402">
      <w:pPr>
        <w:pStyle w:val="1"/>
        <w:shd w:val="clear" w:color="auto" w:fill="auto"/>
        <w:spacing w:before="0" w:after="107"/>
        <w:ind w:left="20" w:right="20" w:firstLine="600"/>
      </w:pPr>
      <w:r>
        <w:t>ТР ТС 010/2011 Технический регламент Таможенного союза «О безопасности машин и оборудования»</w:t>
      </w:r>
    </w:p>
    <w:p w:rsidR="00BE0B04" w:rsidRDefault="0095340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55"/>
        </w:tabs>
        <w:spacing w:after="87" w:line="200" w:lineRule="exact"/>
        <w:ind w:left="20"/>
      </w:pPr>
      <w:bookmarkStart w:id="2" w:name="bookmark1"/>
      <w:r>
        <w:t>Структура (содержание) стандарта</w:t>
      </w:r>
      <w:bookmarkEnd w:id="2"/>
    </w:p>
    <w:p w:rsidR="00BE0B04" w:rsidRDefault="00953402">
      <w:pPr>
        <w:pStyle w:val="1"/>
        <w:shd w:val="clear" w:color="auto" w:fill="auto"/>
        <w:spacing w:before="0" w:after="68" w:line="264" w:lineRule="exact"/>
        <w:ind w:left="20" w:right="20" w:firstLine="600"/>
      </w:pPr>
      <w:r>
        <w:t>Содержание стандарта сформировано в соответствии с требованиями раздела 7 ГОСТ 1.5-2001 «Межгосударственная</w:t>
      </w:r>
      <w:r>
        <w:t xml:space="preserve"> система стандартизации.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обозначению».</w:t>
      </w:r>
    </w:p>
    <w:p w:rsidR="00BE0B04" w:rsidRDefault="00953402">
      <w:pPr>
        <w:pStyle w:val="1"/>
        <w:shd w:val="clear" w:color="auto" w:fill="auto"/>
        <w:spacing w:before="0" w:after="0" w:line="254" w:lineRule="exact"/>
        <w:ind w:left="20" w:firstLine="600"/>
      </w:pPr>
      <w:r>
        <w:t>Проект стандарта содержит следующие разделы: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994"/>
        </w:tabs>
        <w:spacing w:before="0" w:after="0" w:line="254" w:lineRule="exact"/>
        <w:ind w:left="20" w:firstLine="600"/>
      </w:pPr>
      <w:r>
        <w:t xml:space="preserve">Область </w:t>
      </w:r>
      <w:r>
        <w:t>применения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33"/>
        </w:tabs>
        <w:spacing w:before="0" w:after="0" w:line="254" w:lineRule="exact"/>
        <w:ind w:left="20" w:firstLine="600"/>
      </w:pPr>
      <w:r>
        <w:t>Нормативные ссылки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before="0" w:after="0" w:line="254" w:lineRule="exact"/>
        <w:ind w:left="20" w:firstLine="600"/>
      </w:pPr>
      <w:r>
        <w:t>Термины и определения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28"/>
        </w:tabs>
        <w:spacing w:before="0" w:after="0" w:line="254" w:lineRule="exact"/>
        <w:ind w:left="20" w:firstLine="600"/>
      </w:pPr>
      <w:r>
        <w:t>Классификация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254" w:lineRule="exact"/>
        <w:ind w:left="20" w:firstLine="600"/>
      </w:pPr>
      <w:r>
        <w:t>Технический аудит производственной системы предприятия</w:t>
      </w:r>
    </w:p>
    <w:p w:rsidR="00BE0B04" w:rsidRDefault="00953402">
      <w:pPr>
        <w:pStyle w:val="1"/>
        <w:numPr>
          <w:ilvl w:val="1"/>
          <w:numId w:val="2"/>
        </w:numPr>
        <w:shd w:val="clear" w:color="auto" w:fill="auto"/>
        <w:tabs>
          <w:tab w:val="left" w:pos="1023"/>
        </w:tabs>
        <w:spacing w:before="0" w:after="0" w:line="254" w:lineRule="exact"/>
        <w:ind w:left="20" w:firstLine="600"/>
      </w:pPr>
      <w:r>
        <w:t>Основные положения</w:t>
      </w:r>
    </w:p>
    <w:p w:rsidR="00BE0B04" w:rsidRDefault="00953402">
      <w:pPr>
        <w:pStyle w:val="40"/>
        <w:numPr>
          <w:ilvl w:val="1"/>
          <w:numId w:val="2"/>
        </w:numPr>
        <w:shd w:val="clear" w:color="auto" w:fill="auto"/>
        <w:tabs>
          <w:tab w:val="left" w:pos="1028"/>
        </w:tabs>
        <w:ind w:left="1100" w:right="20"/>
      </w:pPr>
      <w:r>
        <w:t xml:space="preserve">Проверка приемочных процедур при входном контроле материалов, покупных </w:t>
      </w:r>
      <w:r>
        <w:rPr>
          <w:rStyle w:val="40pt"/>
        </w:rPr>
        <w:t>изделий и сопроводительной документации</w:t>
      </w:r>
    </w:p>
    <w:p w:rsidR="00BE0B04" w:rsidRDefault="00953402">
      <w:pPr>
        <w:pStyle w:val="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54" w:lineRule="exact"/>
        <w:ind w:left="20" w:firstLine="600"/>
      </w:pPr>
      <w:r>
        <w:t>Технический аудит производственных процессов</w:t>
      </w:r>
    </w:p>
    <w:p w:rsidR="00BE0B04" w:rsidRDefault="00953402">
      <w:pPr>
        <w:pStyle w:val="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54" w:lineRule="exact"/>
        <w:ind w:left="20" w:firstLine="600"/>
      </w:pPr>
      <w:r>
        <w:t>Технический аудит производственных операций</w:t>
      </w:r>
    </w:p>
    <w:p w:rsidR="00BE0B04" w:rsidRDefault="00953402">
      <w:pPr>
        <w:pStyle w:val="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54" w:lineRule="exact"/>
        <w:ind w:left="20" w:firstLine="600"/>
      </w:pPr>
      <w:r>
        <w:t>Технический аудит безопасности технологических процессов</w:t>
      </w:r>
    </w:p>
    <w:p w:rsidR="00BE0B04" w:rsidRDefault="00953402">
      <w:pPr>
        <w:pStyle w:val="1"/>
        <w:numPr>
          <w:ilvl w:val="1"/>
          <w:numId w:val="2"/>
        </w:numPr>
        <w:shd w:val="clear" w:color="auto" w:fill="auto"/>
        <w:tabs>
          <w:tab w:val="left" w:pos="1018"/>
        </w:tabs>
        <w:spacing w:before="0" w:after="0" w:line="254" w:lineRule="exact"/>
        <w:ind w:left="20" w:firstLine="600"/>
      </w:pPr>
      <w:r>
        <w:t>Технический аудит процессов в области информационных технологий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0" w:line="254" w:lineRule="exact"/>
        <w:ind w:left="20" w:firstLine="600"/>
      </w:pPr>
      <w:r>
        <w:t>Требования к квалификации аудиторов</w:t>
      </w:r>
    </w:p>
    <w:p w:rsidR="00BE0B04" w:rsidRDefault="00953402">
      <w:pPr>
        <w:pStyle w:val="1"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56" w:line="254" w:lineRule="exact"/>
        <w:ind w:left="1100" w:right="3600"/>
        <w:jc w:val="left"/>
      </w:pPr>
      <w:r>
        <w:t>Гарантии и</w:t>
      </w:r>
      <w:r>
        <w:t>сполнителя аудиторских услуг Библиография</w:t>
      </w:r>
    </w:p>
    <w:p w:rsidR="00BE0B04" w:rsidRDefault="00953402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898"/>
        </w:tabs>
        <w:spacing w:after="60" w:line="259" w:lineRule="exact"/>
        <w:ind w:left="20" w:right="20"/>
      </w:pPr>
      <w:bookmarkStart w:id="3" w:name="bookmark2"/>
      <w:r>
        <w:t>Результат введения и ожидаемая социальная эффективность от применения стандарта</w:t>
      </w:r>
      <w:bookmarkEnd w:id="3"/>
    </w:p>
    <w:p w:rsidR="00BE0B04" w:rsidRDefault="00953402">
      <w:pPr>
        <w:pStyle w:val="1"/>
        <w:shd w:val="clear" w:color="auto" w:fill="auto"/>
        <w:spacing w:before="0" w:after="0"/>
        <w:ind w:left="20" w:right="20" w:firstLine="600"/>
        <w:sectPr w:rsidR="00BE0B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8"/>
          <w:pgMar w:top="1323" w:right="1526" w:bottom="1913" w:left="1536" w:header="0" w:footer="3" w:gutter="0"/>
          <w:cols w:space="720"/>
          <w:noEndnote/>
          <w:docGrid w:linePitch="360"/>
        </w:sectPr>
      </w:pPr>
      <w:r>
        <w:t xml:space="preserve">В результате введения стандарта предполагается проводить непрерывный технический аудит, а его инструменты будут </w:t>
      </w:r>
      <w:r>
        <w:t>помогать бизнесу обнаруживать и предотвращать ошибки и мошенничество более эффективно и на ранней стадии. В дальнейшем мониторинг бизнес-операций может стать будущим этапом функции аудита.</w:t>
      </w:r>
    </w:p>
    <w:p w:rsidR="00BE0B04" w:rsidRDefault="00953402">
      <w:pPr>
        <w:pStyle w:val="30"/>
        <w:numPr>
          <w:ilvl w:val="0"/>
          <w:numId w:val="1"/>
        </w:numPr>
        <w:shd w:val="clear" w:color="auto" w:fill="auto"/>
        <w:tabs>
          <w:tab w:val="left" w:pos="896"/>
        </w:tabs>
        <w:spacing w:before="0" w:after="101" w:line="200" w:lineRule="exact"/>
        <w:ind w:left="20" w:firstLine="540"/>
      </w:pPr>
      <w:r>
        <w:lastRenderedPageBreak/>
        <w:t>Контактные данные разработчика стандарта</w:t>
      </w:r>
    </w:p>
    <w:p w:rsidR="00BE0B04" w:rsidRDefault="00953402">
      <w:pPr>
        <w:pStyle w:val="1"/>
        <w:shd w:val="clear" w:color="auto" w:fill="auto"/>
        <w:spacing w:before="0" w:after="107"/>
        <w:ind w:left="20" w:firstLine="540"/>
      </w:pPr>
      <w:r>
        <w:t xml:space="preserve">12.000 «Центр организации </w:t>
      </w:r>
      <w:r>
        <w:t xml:space="preserve">бизнеса» Юридический и почтовый адрес: 111123, Российская Федерация, город Москва, улица Плеханова, дом 4А, этаж 2, помещение 12, комната 13, офис 80А, тел.+7(919)729-52-83, </w:t>
      </w:r>
      <w:r>
        <w:rPr>
          <w:lang w:val="en-US"/>
        </w:rPr>
        <w:t>e</w:t>
      </w:r>
      <w:r w:rsidRPr="00F6494A">
        <w:t>-</w:t>
      </w:r>
      <w:r>
        <w:rPr>
          <w:lang w:val="en-US"/>
        </w:rPr>
        <w:t>mail</w:t>
      </w:r>
      <w:r w:rsidRPr="00F6494A">
        <w:t xml:space="preserve">: </w:t>
      </w:r>
      <w:hyperlink r:id="rId14" w:history="1">
        <w:r>
          <w:rPr>
            <w:rStyle w:val="a3"/>
            <w:lang w:val="en-US"/>
          </w:rPr>
          <w:t>cob</w:t>
        </w:r>
        <w:r w:rsidRPr="00F6494A">
          <w:rPr>
            <w:rStyle w:val="a3"/>
          </w:rPr>
          <w:t>2022@</w:t>
        </w:r>
        <w:r>
          <w:rPr>
            <w:rStyle w:val="a3"/>
            <w:lang w:val="en-US"/>
          </w:rPr>
          <w:t>yandex</w:t>
        </w:r>
        <w:r w:rsidRPr="00F6494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BE0B04" w:rsidRDefault="00953402">
      <w:pPr>
        <w:pStyle w:val="1"/>
        <w:shd w:val="clear" w:color="auto" w:fill="auto"/>
        <w:spacing w:before="0" w:after="860" w:line="200" w:lineRule="exact"/>
        <w:ind w:left="20" w:firstLine="540"/>
      </w:pPr>
      <w:r>
        <w:rPr>
          <w:rStyle w:val="a8"/>
        </w:rPr>
        <w:t>Руководитель разр</w:t>
      </w:r>
      <w:r>
        <w:rPr>
          <w:rStyle w:val="a8"/>
        </w:rPr>
        <w:t xml:space="preserve">аботки: </w:t>
      </w:r>
      <w:r>
        <w:t>Цеханский-Сергеев Григорий Леонидович +79857768348</w:t>
      </w:r>
    </w:p>
    <w:p w:rsidR="00BE0B04" w:rsidRDefault="00F6494A">
      <w:pPr>
        <w:framePr w:h="2381" w:wrap="notBeside" w:vAnchor="text" w:hAnchor="text" w:xAlign="center" w:y="1"/>
        <w:jc w:val="center"/>
        <w:rPr>
          <w:sz w:val="0"/>
          <w:szCs w:val="0"/>
        </w:rPr>
      </w:pPr>
      <w:r>
        <w:rPr>
          <w:noProof/>
        </w:rPr>
        <w:drawing>
          <wp:inline distT="0" distB="0" distL="0" distR="0">
            <wp:extent cx="5370195" cy="1515110"/>
            <wp:effectExtent l="0" t="0" r="0" b="0"/>
            <wp:docPr id="2" name="Рисунок 1" descr="C:\Users\OVECHK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VECHK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9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B04" w:rsidRDefault="00BE0B04">
      <w:pPr>
        <w:rPr>
          <w:sz w:val="2"/>
          <w:szCs w:val="2"/>
        </w:rPr>
      </w:pPr>
    </w:p>
    <w:p w:rsidR="00BE0B04" w:rsidRDefault="00BE0B04">
      <w:pPr>
        <w:rPr>
          <w:sz w:val="2"/>
          <w:szCs w:val="2"/>
        </w:rPr>
      </w:pPr>
    </w:p>
    <w:sectPr w:rsidR="00BE0B04">
      <w:footerReference w:type="default" r:id="rId16"/>
      <w:pgSz w:w="11909" w:h="16838"/>
      <w:pgMar w:top="1323" w:right="1526" w:bottom="1913" w:left="1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94A" w:rsidRDefault="00F6494A">
      <w:r>
        <w:separator/>
      </w:r>
    </w:p>
  </w:endnote>
  <w:endnote w:type="continuationSeparator" w:id="0">
    <w:p w:rsidR="00F6494A" w:rsidRDefault="00F6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B04" w:rsidRDefault="00F6494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6531610</wp:posOffset>
              </wp:positionH>
              <wp:positionV relativeFrom="page">
                <wp:posOffset>9753600</wp:posOffset>
              </wp:positionV>
              <wp:extent cx="64135" cy="14605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B04" w:rsidRDefault="0095340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7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3pt;margin-top:768pt;width:5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" filled="f" stroked="f">
              <v:textbox style="mso-fit-shape-to-text:t" inset="0,0,0,0">
                <w:txbxContent>
                  <w:p w:rsidR="00BE0B04" w:rsidRDefault="0095340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7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94A" w:rsidRDefault="00F6494A"/>
  </w:footnote>
  <w:footnote w:type="continuationSeparator" w:id="0">
    <w:p w:rsidR="00F6494A" w:rsidRDefault="00F6494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402" w:rsidRDefault="0095340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82A0F"/>
    <w:multiLevelType w:val="multilevel"/>
    <w:tmpl w:val="81F29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CF4A74"/>
    <w:multiLevelType w:val="multilevel"/>
    <w:tmpl w:val="0EC05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4"/>
    <w:rsid w:val="00953402"/>
    <w:rsid w:val="00BE0B04"/>
    <w:rsid w:val="00F6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40pt">
    <w:name w:val="Основной текст (4) + 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120" w:line="0" w:lineRule="atLeast"/>
      <w:ind w:firstLine="5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20" w:after="120" w:line="259" w:lineRule="exact"/>
      <w:ind w:hanging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80" w:line="0" w:lineRule="atLeast"/>
      <w:ind w:firstLine="600"/>
      <w:jc w:val="both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4" w:lineRule="exact"/>
      <w:ind w:hanging="480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95340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53402"/>
    <w:rPr>
      <w:color w:val="000000"/>
    </w:rPr>
  </w:style>
  <w:style w:type="paragraph" w:styleId="ab">
    <w:name w:val="footer"/>
    <w:basedOn w:val="a"/>
    <w:link w:val="ac"/>
    <w:uiPriority w:val="99"/>
    <w:unhideWhenUsed/>
    <w:rsid w:val="009534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534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b2022@yandex.ru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cob202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4566</Characters>
  <Application>Microsoft Office Word</Application>
  <DocSecurity>0</DocSecurity>
  <Lines>38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2024-03-19T13:17:00Z</dcterms:created>
  <dcterms:modified xsi:type="dcterms:W3CDTF">2024-03-19T13:17:00Z</dcterms:modified>
</cp:coreProperties>
</file>